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C8" w:rsidRPr="00126526" w:rsidRDefault="000D41C8" w:rsidP="000D41C8">
      <w:pPr>
        <w:keepNext/>
        <w:keepLines/>
        <w:spacing w:before="480" w:after="0"/>
        <w:jc w:val="both"/>
        <w:outlineLvl w:val="0"/>
        <w:rPr>
          <w:rFonts w:eastAsiaTheme="majorEastAsia" w:cs="Times New Roman"/>
          <w:b/>
          <w:bCs/>
          <w:sz w:val="32"/>
          <w:szCs w:val="28"/>
          <w:u w:val="single"/>
          <w:lang w:val="en-US" w:eastAsia="cs-CZ"/>
        </w:rPr>
      </w:pPr>
      <w:bookmarkStart w:id="0" w:name="_Toc31366934"/>
      <w:r w:rsidRPr="00126526">
        <w:rPr>
          <w:rFonts w:eastAsiaTheme="majorEastAsia" w:cs="Times New Roman"/>
          <w:b/>
          <w:bCs/>
          <w:sz w:val="32"/>
          <w:szCs w:val="28"/>
          <w:u w:val="single"/>
          <w:lang w:eastAsia="cs-CZ"/>
        </w:rPr>
        <w:t>Legislativní opatření</w:t>
      </w:r>
      <w:bookmarkEnd w:id="0"/>
      <w:r w:rsidRPr="00126526">
        <w:rPr>
          <w:rFonts w:eastAsiaTheme="majorEastAsia" w:cs="Times New Roman"/>
          <w:b/>
          <w:bCs/>
          <w:sz w:val="32"/>
          <w:szCs w:val="28"/>
          <w:u w:val="single"/>
          <w:lang w:val="en-US" w:eastAsia="cs-CZ"/>
        </w:rPr>
        <w:t xml:space="preserve"> </w:t>
      </w:r>
    </w:p>
    <w:p w:rsidR="000D41C8" w:rsidRPr="000D41C8" w:rsidRDefault="000D41C8" w:rsidP="000D41C8">
      <w:pPr>
        <w:rPr>
          <w:rFonts w:eastAsiaTheme="minorEastAsia" w:cs="Times New Roman"/>
          <w:lang w:val="en-US" w:eastAsia="cs-CZ"/>
        </w:rPr>
      </w:pPr>
    </w:p>
    <w:p w:rsidR="000D41C8" w:rsidRDefault="000D41C8" w:rsidP="000D41C8">
      <w:pPr>
        <w:widowControl w:val="0"/>
        <w:autoSpaceDE w:val="0"/>
        <w:autoSpaceDN w:val="0"/>
        <w:adjustRightInd w:val="0"/>
        <w:spacing w:line="360" w:lineRule="auto"/>
        <w:jc w:val="both"/>
        <w:rPr>
          <w:rFonts w:eastAsiaTheme="minorEastAsia" w:cs="Times New Roman"/>
          <w:sz w:val="28"/>
          <w:lang w:eastAsia="cs-CZ"/>
        </w:rPr>
      </w:pPr>
      <w:r w:rsidRPr="00126526">
        <w:rPr>
          <w:rFonts w:eastAsiaTheme="minorEastAsia" w:cs="Times New Roman"/>
          <w:sz w:val="28"/>
          <w:lang w:eastAsia="cs-CZ"/>
        </w:rPr>
        <w:t xml:space="preserve">Problémem řešení záškoláctví se zabývá hned několik institucí, protože za nezletilé dítě ze zákona zodpovídá zákonný zástupce, který má za povinnost zajistit povinnou školní docházku svého nezletilého dítěte. Postih záškoláctví se tedy netýká pouze jen samotného žáka, ale i jeho zákonného zástupce. </w:t>
      </w:r>
    </w:p>
    <w:p w:rsidR="00126526" w:rsidRPr="00126526" w:rsidRDefault="00126526" w:rsidP="000D41C8">
      <w:pPr>
        <w:widowControl w:val="0"/>
        <w:autoSpaceDE w:val="0"/>
        <w:autoSpaceDN w:val="0"/>
        <w:adjustRightInd w:val="0"/>
        <w:spacing w:line="360" w:lineRule="auto"/>
        <w:jc w:val="both"/>
        <w:rPr>
          <w:rFonts w:eastAsiaTheme="minorEastAsia" w:cs="Times New Roman"/>
          <w:sz w:val="28"/>
          <w:lang w:eastAsia="cs-CZ"/>
        </w:rPr>
      </w:pPr>
    </w:p>
    <w:p w:rsidR="000D41C8" w:rsidRPr="00126526" w:rsidRDefault="000D41C8" w:rsidP="000D41C8">
      <w:pPr>
        <w:widowControl w:val="0"/>
        <w:autoSpaceDE w:val="0"/>
        <w:autoSpaceDN w:val="0"/>
        <w:adjustRightInd w:val="0"/>
        <w:spacing w:line="360" w:lineRule="auto"/>
        <w:jc w:val="both"/>
        <w:rPr>
          <w:rFonts w:eastAsiaTheme="minorEastAsia" w:cs="Times New Roman"/>
          <w:b/>
          <w:i/>
          <w:sz w:val="28"/>
          <w:lang w:eastAsia="cs-CZ"/>
        </w:rPr>
      </w:pPr>
      <w:r w:rsidRPr="00126526">
        <w:rPr>
          <w:rFonts w:eastAsiaTheme="minorEastAsia" w:cs="Times New Roman"/>
          <w:b/>
          <w:i/>
          <w:sz w:val="28"/>
          <w:lang w:eastAsia="cs-CZ"/>
        </w:rPr>
        <w:t xml:space="preserve">Řešením záškoláctví se zabývají: </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lang w:eastAsia="cs-CZ"/>
        </w:rPr>
      </w:pPr>
      <w:r w:rsidRPr="00126526">
        <w:rPr>
          <w:rFonts w:eastAsiaTheme="minorEastAsia" w:cs="Times New Roman"/>
          <w:sz w:val="28"/>
          <w:lang w:eastAsia="cs-CZ"/>
        </w:rPr>
        <w:t xml:space="preserve">zákonní zástupci </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lang w:eastAsia="cs-CZ"/>
        </w:rPr>
      </w:pPr>
      <w:r w:rsidRPr="00126526">
        <w:rPr>
          <w:rFonts w:eastAsiaTheme="minorEastAsia" w:cs="Times New Roman"/>
          <w:sz w:val="28"/>
          <w:lang w:eastAsia="cs-CZ"/>
        </w:rPr>
        <w:t>základní škola</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lang w:eastAsia="cs-CZ"/>
        </w:rPr>
      </w:pPr>
      <w:r w:rsidRPr="00126526">
        <w:rPr>
          <w:rFonts w:eastAsiaTheme="minorEastAsia" w:cs="Times New Roman"/>
          <w:sz w:val="28"/>
          <w:lang w:eastAsia="cs-CZ"/>
        </w:rPr>
        <w:t>orgán sociálně právní ochrany dětí – OSPOD</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lang w:eastAsia="cs-CZ"/>
        </w:rPr>
      </w:pPr>
      <w:r w:rsidRPr="00126526">
        <w:rPr>
          <w:rFonts w:eastAsiaTheme="minorEastAsia" w:cs="Times New Roman"/>
          <w:sz w:val="28"/>
          <w:lang w:eastAsia="cs-CZ"/>
        </w:rPr>
        <w:t xml:space="preserve">obecní úřady a orgány pomoci v hmotné nouzi </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lang w:eastAsia="cs-CZ"/>
        </w:rPr>
      </w:pPr>
      <w:r w:rsidRPr="00126526">
        <w:rPr>
          <w:rFonts w:eastAsiaTheme="minorEastAsia" w:cs="Times New Roman"/>
          <w:sz w:val="28"/>
          <w:lang w:eastAsia="cs-CZ"/>
        </w:rPr>
        <w:t xml:space="preserve">policie ČR </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lang w:eastAsia="cs-CZ"/>
        </w:rPr>
      </w:pPr>
      <w:r w:rsidRPr="00126526">
        <w:rPr>
          <w:rFonts w:eastAsiaTheme="minorEastAsia" w:cs="Times New Roman"/>
          <w:sz w:val="28"/>
          <w:lang w:eastAsia="cs-CZ"/>
        </w:rPr>
        <w:t>pedagogicko-psychologická poradna</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lang w:eastAsia="cs-CZ"/>
        </w:rPr>
      </w:pPr>
      <w:r w:rsidRPr="00126526">
        <w:rPr>
          <w:rFonts w:eastAsiaTheme="minorEastAsia" w:cs="Times New Roman"/>
          <w:sz w:val="28"/>
          <w:lang w:eastAsia="cs-CZ"/>
        </w:rPr>
        <w:t>poradna pro rodinu</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lang w:eastAsia="cs-CZ"/>
        </w:rPr>
      </w:pPr>
      <w:r w:rsidRPr="00126526">
        <w:rPr>
          <w:rFonts w:eastAsiaTheme="minorEastAsia" w:cs="Times New Roman"/>
          <w:sz w:val="28"/>
          <w:lang w:eastAsia="cs-CZ"/>
        </w:rPr>
        <w:t>střediska výchovné péče</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lang w:eastAsia="cs-CZ"/>
        </w:rPr>
      </w:pPr>
      <w:r w:rsidRPr="00126526">
        <w:rPr>
          <w:rFonts w:eastAsiaTheme="minorEastAsia" w:cs="Times New Roman"/>
          <w:sz w:val="28"/>
          <w:lang w:eastAsia="cs-CZ"/>
        </w:rPr>
        <w:t>diagnostické ústavy</w:t>
      </w:r>
    </w:p>
    <w:p w:rsidR="000D41C8"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lang w:eastAsia="cs-CZ"/>
        </w:rPr>
      </w:pPr>
      <w:r w:rsidRPr="00126526">
        <w:rPr>
          <w:rFonts w:eastAsiaTheme="minorEastAsia" w:cs="Times New Roman"/>
          <w:sz w:val="28"/>
          <w:lang w:eastAsia="cs-CZ"/>
        </w:rPr>
        <w:t xml:space="preserve">přestupková komise </w:t>
      </w:r>
    </w:p>
    <w:p w:rsidR="00126526" w:rsidRDefault="00126526" w:rsidP="00126526">
      <w:pPr>
        <w:widowControl w:val="0"/>
        <w:autoSpaceDE w:val="0"/>
        <w:autoSpaceDN w:val="0"/>
        <w:adjustRightInd w:val="0"/>
        <w:spacing w:line="360" w:lineRule="auto"/>
        <w:jc w:val="both"/>
        <w:rPr>
          <w:rFonts w:eastAsiaTheme="minorEastAsia" w:cs="Times New Roman"/>
          <w:sz w:val="28"/>
          <w:lang w:eastAsia="cs-CZ"/>
        </w:rPr>
      </w:pPr>
    </w:p>
    <w:p w:rsidR="00126526" w:rsidRPr="00126526" w:rsidRDefault="00126526" w:rsidP="00126526">
      <w:pPr>
        <w:widowControl w:val="0"/>
        <w:autoSpaceDE w:val="0"/>
        <w:autoSpaceDN w:val="0"/>
        <w:adjustRightInd w:val="0"/>
        <w:spacing w:line="360" w:lineRule="auto"/>
        <w:jc w:val="both"/>
        <w:rPr>
          <w:rFonts w:eastAsiaTheme="minorEastAsia" w:cs="Times New Roman"/>
          <w:sz w:val="28"/>
          <w:lang w:eastAsia="cs-CZ"/>
        </w:rPr>
      </w:pPr>
    </w:p>
    <w:p w:rsidR="000D41C8" w:rsidRDefault="000D41C8" w:rsidP="000D41C8">
      <w:pPr>
        <w:widowControl w:val="0"/>
        <w:autoSpaceDE w:val="0"/>
        <w:autoSpaceDN w:val="0"/>
        <w:adjustRightInd w:val="0"/>
        <w:spacing w:line="360" w:lineRule="auto"/>
        <w:jc w:val="both"/>
        <w:rPr>
          <w:rFonts w:eastAsiaTheme="minorEastAsia" w:cs="Times New Roman"/>
          <w:sz w:val="28"/>
          <w:lang w:eastAsia="cs-CZ"/>
        </w:rPr>
      </w:pPr>
      <w:r w:rsidRPr="00126526">
        <w:rPr>
          <w:rFonts w:eastAsiaTheme="minorEastAsia" w:cs="Times New Roman"/>
          <w:sz w:val="28"/>
          <w:lang w:eastAsia="cs-CZ"/>
        </w:rPr>
        <w:lastRenderedPageBreak/>
        <w:t xml:space="preserve">Právní předpisy v oblasti povinné školní docházky i v oblasti školství obecně jsou v souladu s Listinou základních práv a svobod, která garantuje základní právo na vzdělání. Povinná školní docházka je vymezena v § 36 zákona č. 561/2004 Sb., o předškolním, základním, středním, vyšším odborném a jiném vzdělávání ve znění pozdějších předpisů (Školský zákon). Tento zákon je základním právním předpisem na úrovni zákona v oblasti školství. Dále pak zákon č. 109/2002 Sb., o výkonu ústavní výchovy nebo ochranné výchovy ve školských zařízeních a o preventivně výchovné péči ve školských zařízeních a o změně některých zákonů ve znění pozdějších předpisů. </w:t>
      </w:r>
    </w:p>
    <w:p w:rsidR="00126526" w:rsidRPr="00126526" w:rsidRDefault="00126526" w:rsidP="000D41C8">
      <w:pPr>
        <w:widowControl w:val="0"/>
        <w:autoSpaceDE w:val="0"/>
        <w:autoSpaceDN w:val="0"/>
        <w:adjustRightInd w:val="0"/>
        <w:spacing w:line="360" w:lineRule="auto"/>
        <w:jc w:val="both"/>
        <w:rPr>
          <w:rFonts w:eastAsiaTheme="minorEastAsia" w:cs="Times New Roman"/>
          <w:sz w:val="28"/>
          <w:lang w:eastAsia="cs-CZ"/>
        </w:rPr>
      </w:pPr>
    </w:p>
    <w:p w:rsidR="000D41C8" w:rsidRPr="00126526" w:rsidRDefault="000D41C8" w:rsidP="000D41C8">
      <w:pPr>
        <w:widowControl w:val="0"/>
        <w:autoSpaceDE w:val="0"/>
        <w:autoSpaceDN w:val="0"/>
        <w:adjustRightInd w:val="0"/>
        <w:spacing w:line="360" w:lineRule="auto"/>
        <w:jc w:val="both"/>
        <w:rPr>
          <w:rFonts w:eastAsiaTheme="minorEastAsia" w:cs="Times New Roman"/>
          <w:b/>
          <w:i/>
          <w:sz w:val="28"/>
          <w:szCs w:val="28"/>
          <w:lang w:eastAsia="cs-CZ"/>
        </w:rPr>
      </w:pPr>
      <w:r w:rsidRPr="00126526">
        <w:rPr>
          <w:rFonts w:eastAsiaTheme="minorEastAsia" w:cs="Times New Roman"/>
          <w:b/>
          <w:i/>
          <w:sz w:val="28"/>
          <w:szCs w:val="28"/>
          <w:lang w:eastAsia="cs-CZ"/>
        </w:rPr>
        <w:t xml:space="preserve">Podzákonné právní předpisy – vyhlášky: </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szCs w:val="28"/>
          <w:lang w:eastAsia="cs-CZ"/>
        </w:rPr>
      </w:pPr>
      <w:r w:rsidRPr="00126526">
        <w:rPr>
          <w:rFonts w:eastAsiaTheme="minorEastAsia" w:cs="Times New Roman"/>
          <w:sz w:val="28"/>
          <w:szCs w:val="28"/>
          <w:lang w:eastAsia="cs-CZ"/>
        </w:rPr>
        <w:t xml:space="preserve">Vyhláška č. 16/2005 Sb., o organizaci školního roku. </w:t>
      </w:r>
    </w:p>
    <w:p w:rsidR="000D41C8"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szCs w:val="28"/>
          <w:lang w:eastAsia="cs-CZ"/>
        </w:rPr>
      </w:pPr>
      <w:r w:rsidRPr="00126526">
        <w:rPr>
          <w:rFonts w:eastAsiaTheme="minorEastAsia" w:cs="Times New Roman"/>
          <w:sz w:val="28"/>
          <w:szCs w:val="28"/>
          <w:lang w:eastAsia="cs-CZ"/>
        </w:rPr>
        <w:t xml:space="preserve">Vyhláška č. 48/2005 Sb., o základním vzdělávání a některých náležitostech plnění povinné školní docházky. </w:t>
      </w:r>
    </w:p>
    <w:p w:rsidR="00126526" w:rsidRPr="00126526" w:rsidRDefault="00126526" w:rsidP="00126526">
      <w:pPr>
        <w:widowControl w:val="0"/>
        <w:autoSpaceDE w:val="0"/>
        <w:autoSpaceDN w:val="0"/>
        <w:adjustRightInd w:val="0"/>
        <w:spacing w:line="360" w:lineRule="auto"/>
        <w:jc w:val="both"/>
        <w:rPr>
          <w:rFonts w:eastAsiaTheme="minorEastAsia" w:cs="Times New Roman"/>
          <w:sz w:val="28"/>
          <w:szCs w:val="28"/>
          <w:lang w:eastAsia="cs-CZ"/>
        </w:rPr>
      </w:pPr>
    </w:p>
    <w:p w:rsidR="000D41C8" w:rsidRPr="00126526" w:rsidRDefault="000D41C8" w:rsidP="000D41C8">
      <w:pPr>
        <w:widowControl w:val="0"/>
        <w:autoSpaceDE w:val="0"/>
        <w:autoSpaceDN w:val="0"/>
        <w:adjustRightInd w:val="0"/>
        <w:spacing w:line="360" w:lineRule="auto"/>
        <w:jc w:val="both"/>
        <w:rPr>
          <w:rFonts w:eastAsiaTheme="minorEastAsia" w:cs="Times New Roman"/>
          <w:b/>
          <w:i/>
          <w:sz w:val="28"/>
          <w:szCs w:val="28"/>
          <w:lang w:eastAsia="cs-CZ"/>
        </w:rPr>
      </w:pPr>
      <w:r w:rsidRPr="00126526">
        <w:rPr>
          <w:rFonts w:eastAsiaTheme="minorEastAsia" w:cs="Times New Roman"/>
          <w:b/>
          <w:i/>
          <w:sz w:val="28"/>
          <w:szCs w:val="28"/>
          <w:lang w:eastAsia="cs-CZ"/>
        </w:rPr>
        <w:t xml:space="preserve">Metodické pokyny: </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szCs w:val="28"/>
          <w:lang w:eastAsia="cs-CZ"/>
        </w:rPr>
      </w:pPr>
      <w:r w:rsidRPr="00126526">
        <w:rPr>
          <w:rFonts w:eastAsiaTheme="minorEastAsia" w:cs="Times New Roman"/>
          <w:sz w:val="28"/>
          <w:szCs w:val="28"/>
          <w:lang w:eastAsia="cs-CZ"/>
        </w:rPr>
        <w:t>Metodický pokyn MŠMT, č. j. 10 194/2002 – k jednotnému postupu při uvolňování a omlouvání žáků z vyučování, prevenci a postihu záškoláctví</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szCs w:val="28"/>
          <w:lang w:eastAsia="cs-CZ"/>
        </w:rPr>
      </w:pPr>
      <w:r w:rsidRPr="00126526">
        <w:rPr>
          <w:rFonts w:eastAsiaTheme="minorEastAsia" w:cs="Times New Roman"/>
          <w:sz w:val="28"/>
          <w:szCs w:val="28"/>
          <w:lang w:eastAsia="cs-CZ"/>
        </w:rPr>
        <w:t xml:space="preserve">Metodický pokyn MŠMT, č. j.: 21291/2010-28- příloha č. 11 Záškoláctví </w:t>
      </w:r>
    </w:p>
    <w:p w:rsidR="000D41C8" w:rsidRDefault="000D41C8" w:rsidP="000D41C8">
      <w:pPr>
        <w:widowControl w:val="0"/>
        <w:autoSpaceDE w:val="0"/>
        <w:autoSpaceDN w:val="0"/>
        <w:adjustRightInd w:val="0"/>
        <w:spacing w:line="360" w:lineRule="auto"/>
        <w:ind w:left="720"/>
        <w:jc w:val="both"/>
        <w:rPr>
          <w:rFonts w:eastAsiaTheme="minorEastAsia" w:cs="Times New Roman"/>
          <w:sz w:val="28"/>
          <w:szCs w:val="28"/>
          <w:lang w:val="en-US" w:eastAsia="cs-CZ"/>
        </w:rPr>
      </w:pPr>
    </w:p>
    <w:p w:rsidR="00126526" w:rsidRDefault="00126526" w:rsidP="000D41C8">
      <w:pPr>
        <w:widowControl w:val="0"/>
        <w:autoSpaceDE w:val="0"/>
        <w:autoSpaceDN w:val="0"/>
        <w:adjustRightInd w:val="0"/>
        <w:spacing w:line="360" w:lineRule="auto"/>
        <w:ind w:left="720"/>
        <w:jc w:val="both"/>
        <w:rPr>
          <w:rFonts w:eastAsiaTheme="minorEastAsia" w:cs="Times New Roman"/>
          <w:sz w:val="28"/>
          <w:szCs w:val="28"/>
          <w:lang w:val="en-US" w:eastAsia="cs-CZ"/>
        </w:rPr>
      </w:pPr>
    </w:p>
    <w:p w:rsidR="00126526" w:rsidRPr="00126526" w:rsidRDefault="00126526" w:rsidP="000D41C8">
      <w:pPr>
        <w:widowControl w:val="0"/>
        <w:autoSpaceDE w:val="0"/>
        <w:autoSpaceDN w:val="0"/>
        <w:adjustRightInd w:val="0"/>
        <w:spacing w:line="360" w:lineRule="auto"/>
        <w:ind w:left="720"/>
        <w:jc w:val="both"/>
        <w:rPr>
          <w:rFonts w:eastAsiaTheme="minorEastAsia" w:cs="Times New Roman"/>
          <w:sz w:val="28"/>
          <w:szCs w:val="28"/>
          <w:lang w:val="en-US" w:eastAsia="cs-CZ"/>
        </w:rPr>
      </w:pPr>
      <w:bookmarkStart w:id="1" w:name="_GoBack"/>
      <w:bookmarkEnd w:id="1"/>
    </w:p>
    <w:p w:rsidR="000D41C8" w:rsidRPr="00126526" w:rsidRDefault="000D41C8" w:rsidP="000D41C8">
      <w:pPr>
        <w:widowControl w:val="0"/>
        <w:autoSpaceDE w:val="0"/>
        <w:autoSpaceDN w:val="0"/>
        <w:adjustRightInd w:val="0"/>
        <w:spacing w:line="360" w:lineRule="auto"/>
        <w:jc w:val="both"/>
        <w:rPr>
          <w:rFonts w:eastAsiaTheme="minorEastAsia" w:cs="Times New Roman"/>
          <w:sz w:val="28"/>
          <w:szCs w:val="28"/>
          <w:lang w:eastAsia="cs-CZ"/>
        </w:rPr>
      </w:pPr>
      <w:r w:rsidRPr="00126526">
        <w:rPr>
          <w:rFonts w:eastAsiaTheme="minorEastAsia" w:cs="Times New Roman"/>
          <w:sz w:val="28"/>
          <w:szCs w:val="28"/>
          <w:lang w:eastAsia="cs-CZ"/>
        </w:rPr>
        <w:lastRenderedPageBreak/>
        <w:t xml:space="preserve">Právní předpisy, které se dotýkají povinné školní docházky a upravují postupy v případě problémů a zanedbání v této oblasti: </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szCs w:val="28"/>
          <w:lang w:eastAsia="cs-CZ"/>
        </w:rPr>
      </w:pPr>
      <w:r w:rsidRPr="00126526">
        <w:rPr>
          <w:rFonts w:eastAsiaTheme="minorEastAsia" w:cs="Times New Roman"/>
          <w:sz w:val="28"/>
          <w:szCs w:val="28"/>
          <w:lang w:eastAsia="cs-CZ"/>
        </w:rPr>
        <w:t xml:space="preserve">Zákon č. 359/1999 Sb., o sociálně-právní ochraně dětí, ve znění pozdějších předpisů. </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szCs w:val="28"/>
          <w:lang w:eastAsia="cs-CZ"/>
        </w:rPr>
      </w:pPr>
      <w:r w:rsidRPr="00126526">
        <w:rPr>
          <w:rFonts w:eastAsiaTheme="minorEastAsia" w:cs="Times New Roman"/>
          <w:sz w:val="28"/>
          <w:szCs w:val="28"/>
          <w:lang w:eastAsia="cs-CZ"/>
        </w:rPr>
        <w:t xml:space="preserve">Zákon č. 200/1990 Sb., o přestupcích, ve znění pozdějších předpisů. </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szCs w:val="28"/>
          <w:lang w:eastAsia="cs-CZ"/>
        </w:rPr>
      </w:pPr>
      <w:r w:rsidRPr="00126526">
        <w:rPr>
          <w:rFonts w:eastAsiaTheme="minorEastAsia" w:cs="Times New Roman"/>
          <w:sz w:val="28"/>
          <w:szCs w:val="28"/>
          <w:lang w:eastAsia="cs-CZ"/>
        </w:rPr>
        <w:t xml:space="preserve">Zákon č. 40/2009 Sb., Trestní zákoník, ve znění pozdějších předpisů. </w:t>
      </w:r>
    </w:p>
    <w:p w:rsidR="000D41C8" w:rsidRPr="00126526" w:rsidRDefault="000D41C8" w:rsidP="000D41C8">
      <w:pPr>
        <w:widowControl w:val="0"/>
        <w:numPr>
          <w:ilvl w:val="0"/>
          <w:numId w:val="1"/>
        </w:numPr>
        <w:autoSpaceDE w:val="0"/>
        <w:autoSpaceDN w:val="0"/>
        <w:adjustRightInd w:val="0"/>
        <w:spacing w:line="360" w:lineRule="auto"/>
        <w:ind w:left="720" w:hanging="360"/>
        <w:jc w:val="both"/>
        <w:rPr>
          <w:rFonts w:eastAsiaTheme="minorEastAsia" w:cs="Times New Roman"/>
          <w:sz w:val="28"/>
          <w:szCs w:val="28"/>
          <w:lang w:eastAsia="cs-CZ"/>
        </w:rPr>
      </w:pPr>
      <w:r w:rsidRPr="00126526">
        <w:rPr>
          <w:rFonts w:eastAsiaTheme="minorEastAsia" w:cs="Times New Roman"/>
          <w:sz w:val="28"/>
          <w:szCs w:val="28"/>
          <w:lang w:eastAsia="cs-CZ"/>
        </w:rPr>
        <w:t xml:space="preserve">Zákon č. 111/2006 Sb., o pomoci v hmotné nouzi, ve znění pozdějších předpisů. </w:t>
      </w:r>
    </w:p>
    <w:p w:rsidR="003718D8" w:rsidRPr="00126526" w:rsidRDefault="003718D8">
      <w:pPr>
        <w:rPr>
          <w:sz w:val="28"/>
          <w:szCs w:val="28"/>
        </w:rPr>
      </w:pPr>
    </w:p>
    <w:sectPr w:rsidR="003718D8" w:rsidRPr="00126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B946D7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C8"/>
    <w:rsid w:val="000D41C8"/>
    <w:rsid w:val="00126526"/>
    <w:rsid w:val="003718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1823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Kyselová</dc:creator>
  <cp:lastModifiedBy>Iva Kyselová</cp:lastModifiedBy>
  <cp:revision>3</cp:revision>
  <dcterms:created xsi:type="dcterms:W3CDTF">2021-03-04T10:17:00Z</dcterms:created>
  <dcterms:modified xsi:type="dcterms:W3CDTF">2021-03-05T10:36:00Z</dcterms:modified>
</cp:coreProperties>
</file>